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D" w:rsidRDefault="001B79AD" w:rsidP="001B79AD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1B79AD" w:rsidRDefault="001B79AD" w:rsidP="001B79AD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1B79AD" w:rsidRDefault="00B17D9C" w:rsidP="001B79AD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КРАСНОПОЛЯНСКИЙ</w:t>
      </w:r>
      <w:r w:rsidR="001B79AD">
        <w:rPr>
          <w:b/>
        </w:rPr>
        <w:t xml:space="preserve"> СЕЛЬСОВЕТ</w:t>
      </w:r>
    </w:p>
    <w:p w:rsidR="001B79AD" w:rsidRDefault="001B79AD" w:rsidP="001B79AD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1B79AD" w:rsidRDefault="001B79AD" w:rsidP="001B79AD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1B79AD" w:rsidRDefault="001B79AD" w:rsidP="001B79AD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1B79AD" w:rsidRDefault="001B79AD" w:rsidP="001B79AD">
      <w:pPr>
        <w:tabs>
          <w:tab w:val="left" w:pos="5529"/>
        </w:tabs>
        <w:ind w:right="3684"/>
        <w:jc w:val="center"/>
        <w:rPr>
          <w:b/>
        </w:rPr>
      </w:pPr>
    </w:p>
    <w:p w:rsidR="001B79AD" w:rsidRDefault="00B17D9C" w:rsidP="001B79AD">
      <w:pPr>
        <w:tabs>
          <w:tab w:val="left" w:pos="5529"/>
        </w:tabs>
        <w:ind w:right="3684"/>
        <w:jc w:val="center"/>
      </w:pPr>
      <w:r>
        <w:t>02.03</w:t>
      </w:r>
      <w:r w:rsidR="001B79AD">
        <w:t>.2022  г. № 10-п</w:t>
      </w:r>
    </w:p>
    <w:p w:rsidR="001B79AD" w:rsidRDefault="00B17D9C" w:rsidP="001B79AD">
      <w:pPr>
        <w:tabs>
          <w:tab w:val="left" w:pos="5529"/>
        </w:tabs>
        <w:ind w:right="3684"/>
        <w:jc w:val="center"/>
      </w:pPr>
      <w:r>
        <w:t>п. Красная Поляна</w:t>
      </w:r>
    </w:p>
    <w:p w:rsidR="001B79AD" w:rsidRDefault="00A90710" w:rsidP="001B79AD">
      <w:pPr>
        <w:pStyle w:val="a4"/>
        <w:rPr>
          <w:sz w:val="28"/>
          <w:szCs w:val="28"/>
        </w:rPr>
      </w:pPr>
      <w:r w:rsidRPr="00A90710">
        <w:rPr>
          <w:noProof/>
        </w:rPr>
        <w:pict>
          <v:line id="Прямая соединительная линия 50" o:spid="_x0000_s1026" style="position:absolute;z-index:251655680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A90710">
        <w:rPr>
          <w:noProof/>
        </w:rPr>
        <w:pict>
          <v:line id="Прямая соединительная линия 54" o:spid="_x0000_s1030" style="position:absolute;flip:x;z-index:251656704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A90710">
        <w:rPr>
          <w:noProof/>
        </w:rPr>
        <w:pict>
          <v:line id="Прямая соединительная линия 69" o:spid="_x0000_s1029" style="position:absolute;z-index:251657728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A90710">
        <w:rPr>
          <w:noProof/>
        </w:rPr>
        <w:pict>
          <v:line id="Прямая соединительная линия 68" o:spid="_x0000_s1028" style="position:absolute;z-index:251658752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1B79AD" w:rsidTr="001B79AD">
        <w:tc>
          <w:tcPr>
            <w:tcW w:w="9677" w:type="dxa"/>
          </w:tcPr>
          <w:p w:rsidR="001B79AD" w:rsidRDefault="001B79AD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 </w:t>
            </w:r>
          </w:p>
          <w:p w:rsidR="001B79AD" w:rsidRDefault="001B79AD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</w:t>
            </w:r>
            <w:r w:rsidR="00B17D9C">
              <w:rPr>
                <w:lang w:eastAsia="en-US"/>
              </w:rPr>
              <w:t>тов муниципального образования Краснополянский</w:t>
            </w:r>
            <w:r>
              <w:rPr>
                <w:lang w:eastAsia="en-US"/>
              </w:rPr>
              <w:t xml:space="preserve"> сельсовет от </w:t>
            </w:r>
            <w:r w:rsidR="00B17D9C">
              <w:rPr>
                <w:lang w:eastAsia="en-US"/>
              </w:rPr>
              <w:t>15</w:t>
            </w:r>
            <w:r>
              <w:rPr>
                <w:lang w:eastAsia="en-US"/>
              </w:rPr>
              <w:t>.09.2021 № 1</w:t>
            </w:r>
            <w:r w:rsidR="00B17D9C">
              <w:rPr>
                <w:lang w:eastAsia="en-US"/>
              </w:rPr>
              <w:t>2/2</w:t>
            </w:r>
            <w:r>
              <w:rPr>
                <w:lang w:eastAsia="en-US"/>
              </w:rPr>
              <w:t xml:space="preserve"> р.С. «О муниципальном жилищном контроле на территории муниципального образования </w:t>
            </w:r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области», с целью осуществления администрац</w:t>
            </w:r>
            <w:r w:rsidR="00B17D9C">
              <w:rPr>
                <w:lang w:eastAsia="en-US"/>
              </w:rPr>
              <w:t>ией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 функций по муниципальному  жилищному контролю на террито</w:t>
            </w:r>
            <w:r w:rsidR="00B17D9C">
              <w:rPr>
                <w:lang w:eastAsia="en-US"/>
              </w:rPr>
              <w:t>рии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области: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</w:t>
            </w:r>
            <w:r>
              <w:rPr>
                <w:lang w:eastAsia="en-US"/>
              </w:rPr>
              <w:lastRenderedPageBreak/>
              <w:t>района Оренбургской области, согласно приложению.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 жилищного контроля на территории муниципального образования </w:t>
            </w:r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 w:rsidR="00B17D9C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1B79AD" w:rsidRDefault="00B17D9C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Краснополянский</w:t>
            </w:r>
            <w:r w:rsidR="001B79AD">
              <w:rPr>
                <w:lang w:eastAsia="en-US"/>
              </w:rPr>
              <w:t xml:space="preserve"> сельсовета</w:t>
            </w:r>
            <w:r>
              <w:rPr>
                <w:lang w:eastAsia="en-US"/>
              </w:rPr>
              <w:t xml:space="preserve"> </w:t>
            </w:r>
            <w:r w:rsidR="001B79AD">
              <w:rPr>
                <w:lang w:eastAsia="en-US"/>
              </w:rPr>
              <w:t xml:space="preserve">                                      </w:t>
            </w:r>
            <w:r>
              <w:rPr>
                <w:lang w:eastAsia="en-US"/>
              </w:rPr>
              <w:t>Т.В. Дедловская</w:t>
            </w:r>
          </w:p>
          <w:p w:rsidR="001B79AD" w:rsidRDefault="001B79AD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1B79AD" w:rsidRDefault="00B17D9C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Краснополянский</w:t>
            </w:r>
            <w:r w:rsidR="001B79AD">
              <w:rPr>
                <w:lang w:eastAsia="en-US"/>
              </w:rPr>
              <w:t xml:space="preserve"> сельсовет</w:t>
            </w:r>
          </w:p>
          <w:p w:rsidR="001B79AD" w:rsidRDefault="00B17D9C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02</w:t>
            </w:r>
            <w:r w:rsidR="001B79AD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1B79AD">
              <w:rPr>
                <w:lang w:eastAsia="en-US"/>
              </w:rPr>
              <w:t xml:space="preserve">.2022 № 10-п </w:t>
            </w: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A90710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 w:rsidRPr="00A90710">
              <w:rPr>
                <w:noProof/>
              </w:rPr>
              <w:pict>
                <v:rect id="Прямоугольник 5" o:spid="_x0000_s1027" style="position:absolute;left:0;text-align:left;margin-left:69.8pt;margin-top:4.05pt;width:67pt;height:62.6pt;z-index:2516597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<v:path arrowok="t"/>
                  <v:textbox>
                    <w:txbxContent>
                      <w:p w:rsidR="001B79AD" w:rsidRDefault="001B79AD" w:rsidP="001B79AD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>
                          <w:t>код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1B79AD" w:rsidRDefault="001B79AD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1B79AD" w:rsidRDefault="001B79AD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  <w:r w:rsidR="00B17D9C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жилищного контроля на территории муниципального образования </w:t>
            </w:r>
            <w:r w:rsidR="00B17D9C">
              <w:rPr>
                <w:b/>
                <w:sz w:val="26"/>
                <w:szCs w:val="26"/>
                <w:lang w:eastAsia="en-US"/>
              </w:rPr>
              <w:t>Краснополянский</w:t>
            </w:r>
            <w:r>
              <w:rPr>
                <w:b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1B79AD" w:rsidRDefault="001B79AD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79AD" w:rsidRDefault="001B79AD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79AD" w:rsidRDefault="001B79AD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</w:t>
            </w:r>
            <w:r w:rsidR="00B17D9C">
              <w:rPr>
                <w:color w:val="000000"/>
                <w:sz w:val="26"/>
                <w:szCs w:val="26"/>
                <w:lang w:eastAsia="en-US"/>
              </w:rPr>
              <w:t xml:space="preserve">ия муниципального образования «Краснополянский </w:t>
            </w:r>
            <w:r>
              <w:rPr>
                <w:color w:val="000000"/>
                <w:sz w:val="26"/>
                <w:szCs w:val="26"/>
                <w:lang w:eastAsia="en-US"/>
              </w:rPr>
              <w:t>сельсовет Новосергиевского района» Оренбургской области _______________________________________________________________________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(наименование органа муниципального контроля)</w:t>
            </w: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 xml:space="preserve">контроля  (надзора), регионального государственного контроля (надзора), муниципального контроля: муниципальный жилищный контроль на территории муниципального образования </w:t>
            </w:r>
            <w:r w:rsidR="00B17D9C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r w:rsidR="00B17D9C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>муниципального жилищного контроля на территории мун</w:t>
            </w:r>
            <w:r w:rsidR="00B17D9C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иципального образования 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 утверждена распоряжением Администрация от _______ №____________ «Об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r w:rsidR="00B17D9C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области».</w:t>
            </w: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r w:rsidR="00B17D9C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2817"/>
              <w:gridCol w:w="2664"/>
              <w:gridCol w:w="2022"/>
              <w:gridCol w:w="1465"/>
            </w:tblGrid>
            <w:tr w:rsidR="001B79AD">
              <w:trPr>
                <w:trHeight w:val="270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которымиустановлены</w:t>
                  </w:r>
                  <w:proofErr w:type="spellEnd"/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(«да»/«нет»/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1B79AD">
              <w:trPr>
                <w:trHeight w:val="416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4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пункты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1,3 статьи 161 </w:t>
                  </w:r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Жилищного кодекса Российской Федерации;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41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Пункт 3 статьи </w:t>
                  </w:r>
                  <w:hyperlink r:id="rId5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161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6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статья 158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7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статья 36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8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Правила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Имеется ли утвержденный решением общего собрания собственников помещений перечень работ и услуг, оказываемых в счет платы за жилое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помещение?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9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статья 161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технических осмотров многоквартирных домов?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0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2.1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Обеспечивается ли подготовка жилищного фонда к сезонной эксплуатации?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1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2.6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порядку содержания помещений и придомовых территорий многоквартирных домов?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раздел III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pStyle w:val="ConsPlusNormal0"/>
                    <w:spacing w:line="276" w:lineRule="auto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3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1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A90710">
                  <w:pPr>
                    <w:pStyle w:val="ConsPlusNormal0"/>
                    <w:spacing w:line="276" w:lineRule="auto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 4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</w:p>
                <w:p w:rsidR="001B79AD" w:rsidRDefault="00A90710">
                  <w:pPr>
                    <w:spacing w:line="276" w:lineRule="auto"/>
                    <w:ind w:left="149"/>
                    <w:rPr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Правила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предоставления </w:t>
                  </w:r>
                  <w:r w:rsidR="001B79AD">
                    <w:rPr>
                      <w:sz w:val="24"/>
                      <w:szCs w:val="24"/>
                      <w:lang w:eastAsia="en-US"/>
                    </w:rPr>
                    <w:lastRenderedPageBreak/>
                    <w:t>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2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 4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</w:p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8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пункты 31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9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69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0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70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1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71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      </w:r>
                </w:p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22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29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содержания общего имущества в многоквартирном доме, утвержденных постановлением Правительства Российской Федерации </w:t>
                  </w:r>
                  <w:r w:rsidR="001B79AD">
                    <w:rPr>
                      <w:sz w:val="24"/>
                      <w:szCs w:val="24"/>
                      <w:lang w:eastAsia="en-US"/>
                    </w:rPr>
                    <w:lastRenderedPageBreak/>
                    <w:t>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2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Соблюдаются ли требования к заключению договоров энергоснабжения с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ресурсоснабжающими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A9071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23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1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A90710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24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подпункт «</w:t>
                    </w:r>
                    <w:proofErr w:type="spellStart"/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д</w:t>
                    </w:r>
                    <w:proofErr w:type="spellEnd"/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» пункта 4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ч. 1 - 1.2; 2.1 - 2.2 ст. 161 </w:t>
                  </w:r>
                  <w:hyperlink r:id="rId25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ЖК РФ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B79AD" w:rsidRDefault="001B79AD">
                  <w:pPr>
                    <w:spacing w:line="276" w:lineRule="auto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подп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 "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з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" п. 11 Правил N 491;</w:t>
                  </w:r>
                </w:p>
                <w:p w:rsidR="001B79AD" w:rsidRDefault="001B79AD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п.п. 2.6.3, 2.6.10 Правил и норм N 170, п.п. 2, 9 </w:t>
                  </w:r>
                  <w:hyperlink r:id="rId26" w:anchor="6500IL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 оценки готовности к отопительному периоду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>, утвержденных </w:t>
                  </w:r>
                  <w:hyperlink r:id="rId27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приказом Минэнерго России от 12.03.2013 N 103</w:t>
                    </w:r>
                  </w:hyperlink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1B79AD" w:rsidRP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1B79AD" w:rsidRP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lastRenderedPageBreak/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spacing w:line="276" w:lineRule="auto"/>
              <w:ind w:right="69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150EBF" w:rsidRDefault="00150EBF"/>
    <w:sectPr w:rsidR="00150EBF" w:rsidSect="0089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B79AD"/>
    <w:rsid w:val="000053F4"/>
    <w:rsid w:val="00005F98"/>
    <w:rsid w:val="00005FDB"/>
    <w:rsid w:val="0000607F"/>
    <w:rsid w:val="00006F75"/>
    <w:rsid w:val="000113F5"/>
    <w:rsid w:val="000128C7"/>
    <w:rsid w:val="00012FEC"/>
    <w:rsid w:val="00014C4A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B79AD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652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282B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0710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17D9C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256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B79A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B79A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1B79A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7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B79A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B79A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1B79A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7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322877&amp;date=28.10.2019&amp;dst=101717&amp;fld=134" TargetMode="External"/><Relationship Id="rId18" Type="http://schemas.openxmlformats.org/officeDocument/2006/relationships/hyperlink" Target="https://login.consultant.ru/link/?req=doc&amp;base=LAW&amp;n=329691&amp;date=28.10.2019&amp;dst=100161&amp;fld=134" TargetMode="External"/><Relationship Id="rId26" Type="http://schemas.openxmlformats.org/officeDocument/2006/relationships/hyperlink" Target="https://docs.cntd.ru/document/499008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105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231&amp;fld=134" TargetMode="External"/><Relationship Id="rId17" Type="http://schemas.openxmlformats.org/officeDocument/2006/relationships/hyperlink" Target="https://login.consultant.ru/link/?req=doc&amp;base=LAW&amp;n=305825&amp;date=28.10.2019&amp;dst=100020&amp;fld=134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2877&amp;date=28.10.2019&amp;dst=101687&amp;fld=134" TargetMode="External"/><Relationship Id="rId20" Type="http://schemas.openxmlformats.org/officeDocument/2006/relationships/hyperlink" Target="https://login.consultant.ru/link/?req=doc&amp;base=LAW&amp;n=329691&amp;date=28.10.2019&amp;dst=682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51&amp;fld=134" TargetMode="External"/><Relationship Id="rId24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329691&amp;date=28.10.2019&amp;dst=10003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328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305825&amp;date=28.10.2019&amp;dst=100020&amp;fld=134" TargetMode="External"/><Relationship Id="rId22" Type="http://schemas.openxmlformats.org/officeDocument/2006/relationships/hyperlink" Target="https://login.consultant.ru/link/?req=doc&amp;base=LAW&amp;n=313891&amp;date=28.10.2019&amp;dst=100196&amp;fld=134" TargetMode="External"/><Relationship Id="rId27" Type="http://schemas.openxmlformats.org/officeDocument/2006/relationships/hyperlink" Target="https://docs.cntd.ru/document/49900810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dcterms:created xsi:type="dcterms:W3CDTF">2022-03-21T05:52:00Z</dcterms:created>
  <dcterms:modified xsi:type="dcterms:W3CDTF">2022-03-21T05:52:00Z</dcterms:modified>
</cp:coreProperties>
</file>